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0A" w:rsidRDefault="000E32D5" w:rsidP="009F6F0A">
      <w:pPr>
        <w:rPr>
          <w:b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2710180</wp:posOffset>
            </wp:positionH>
            <wp:positionV relativeFrom="margin">
              <wp:posOffset>-118745</wp:posOffset>
            </wp:positionV>
            <wp:extent cx="1552575" cy="339725"/>
            <wp:effectExtent l="0" t="0" r="9525" b="3175"/>
            <wp:wrapThrough wrapText="bothSides">
              <wp:wrapPolygon edited="0">
                <wp:start x="11131" y="0"/>
                <wp:lineTo x="0" y="3634"/>
                <wp:lineTo x="0" y="15746"/>
                <wp:lineTo x="10866" y="20591"/>
                <wp:lineTo x="13782" y="20591"/>
                <wp:lineTo x="21467" y="15746"/>
                <wp:lineTo x="21467" y="3634"/>
                <wp:lineTo x="13517" y="0"/>
                <wp:lineTo x="11131" y="0"/>
              </wp:wrapPolygon>
            </wp:wrapThrough>
            <wp:docPr id="2" name="Afbeelding 2" descr="Beschrijving: Ontwerpen:Ontwerpen Rob:ROB:Twentse Erven:Twentse Erven DEF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Ontwerpen:Ontwerpen Rob:ROB:Twentse Erven:Twentse Erven DEF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-309245</wp:posOffset>
            </wp:positionV>
            <wp:extent cx="1362075" cy="832485"/>
            <wp:effectExtent l="0" t="0" r="9525" b="5715"/>
            <wp:wrapNone/>
            <wp:docPr id="4" name="Afbeelding 4" descr="Afbeeldingsresultaat voor logo maarkels landsch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go maarkels landsch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-354330</wp:posOffset>
            </wp:positionV>
            <wp:extent cx="1343025" cy="816610"/>
            <wp:effectExtent l="0" t="0" r="9525" b="2540"/>
            <wp:wrapNone/>
            <wp:docPr id="1" name="Afbeelding 1" descr="Afbeeldingsresultaat voor logo sallands erfgo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ogo sallands erfgo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-309245</wp:posOffset>
            </wp:positionV>
            <wp:extent cx="1238250" cy="767299"/>
            <wp:effectExtent l="0" t="0" r="0" b="0"/>
            <wp:wrapNone/>
            <wp:docPr id="3" name="Afbeelding 3" descr="Afbeeldingsresultaat voor logo ijsselho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logo ijsselhoev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70" cy="76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F0A">
        <w:rPr>
          <w:noProof/>
        </w:rPr>
        <w:t xml:space="preserve">  </w:t>
      </w:r>
    </w:p>
    <w:p w:rsidR="009F6F0A" w:rsidRDefault="009F6F0A" w:rsidP="009F6F0A">
      <w:pPr>
        <w:rPr>
          <w:b/>
        </w:rPr>
      </w:pPr>
    </w:p>
    <w:p w:rsidR="009F6F0A" w:rsidRDefault="009F6F0A" w:rsidP="009F6F0A">
      <w:pPr>
        <w:rPr>
          <w:rFonts w:ascii="Cambria" w:hAnsi="Cambria"/>
          <w:b/>
          <w:sz w:val="24"/>
          <w:szCs w:val="24"/>
        </w:rPr>
      </w:pPr>
    </w:p>
    <w:p w:rsidR="009F6F0A" w:rsidRDefault="009F6F0A" w:rsidP="009F6F0A">
      <w:pPr>
        <w:rPr>
          <w:rFonts w:ascii="Cambria" w:hAnsi="Cambria"/>
          <w:b/>
          <w:sz w:val="24"/>
          <w:szCs w:val="24"/>
        </w:rPr>
      </w:pPr>
    </w:p>
    <w:p w:rsidR="009F6F0A" w:rsidRPr="009F6F0A" w:rsidRDefault="009F6F0A" w:rsidP="009F6F0A">
      <w:pPr>
        <w:rPr>
          <w:rFonts w:ascii="Cambria" w:hAnsi="Cambria"/>
          <w:b/>
          <w:sz w:val="32"/>
          <w:szCs w:val="32"/>
        </w:rPr>
      </w:pPr>
      <w:r w:rsidRPr="009F6F0A">
        <w:rPr>
          <w:rFonts w:ascii="Cambria" w:hAnsi="Cambria"/>
          <w:b/>
          <w:sz w:val="32"/>
          <w:szCs w:val="32"/>
        </w:rPr>
        <w:t xml:space="preserve">Voorwaarden </w:t>
      </w:r>
      <w:r>
        <w:rPr>
          <w:rFonts w:ascii="Cambria" w:hAnsi="Cambria"/>
          <w:b/>
          <w:sz w:val="32"/>
          <w:szCs w:val="32"/>
        </w:rPr>
        <w:t>subsidie</w:t>
      </w:r>
      <w:r w:rsidRPr="009F6F0A">
        <w:rPr>
          <w:rFonts w:ascii="Cambria" w:hAnsi="Cambria"/>
          <w:b/>
          <w:sz w:val="32"/>
          <w:szCs w:val="32"/>
        </w:rPr>
        <w:t xml:space="preserve">regeling </w:t>
      </w:r>
      <w:r w:rsidRPr="009F6F0A">
        <w:rPr>
          <w:rFonts w:ascii="Cambria" w:hAnsi="Cambria"/>
          <w:b/>
          <w:i/>
          <w:sz w:val="32"/>
          <w:szCs w:val="32"/>
        </w:rPr>
        <w:t>Beleef het boeren erf(goed)!</w:t>
      </w:r>
      <w:r w:rsidRPr="009F6F0A">
        <w:rPr>
          <w:rFonts w:ascii="Cambria" w:hAnsi="Cambria"/>
          <w:b/>
          <w:sz w:val="32"/>
          <w:szCs w:val="32"/>
        </w:rPr>
        <w:t xml:space="preserve"> </w:t>
      </w:r>
    </w:p>
    <w:p w:rsidR="009F6F0A" w:rsidRPr="00504541" w:rsidRDefault="009F6F0A" w:rsidP="009F6F0A">
      <w:pPr>
        <w:rPr>
          <w:rFonts w:ascii="Cambria" w:hAnsi="Cambria"/>
          <w:i/>
        </w:rPr>
      </w:pPr>
      <w:r w:rsidRPr="00504541">
        <w:rPr>
          <w:rFonts w:ascii="Cambria" w:hAnsi="Cambria"/>
          <w:i/>
        </w:rPr>
        <w:t>Zwolle, september 2016</w:t>
      </w:r>
    </w:p>
    <w:p w:rsidR="009F6F0A" w:rsidRPr="00504541" w:rsidRDefault="009F6F0A" w:rsidP="009F6F0A">
      <w:pPr>
        <w:rPr>
          <w:rFonts w:ascii="Cambria" w:hAnsi="Cambria"/>
        </w:rPr>
      </w:pPr>
    </w:p>
    <w:p w:rsidR="009F6F0A" w:rsidRPr="00504541" w:rsidRDefault="009F6F0A" w:rsidP="009F6F0A">
      <w:p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 xml:space="preserve">De restauratieregeling </w:t>
      </w:r>
      <w:r w:rsidRPr="00504541">
        <w:rPr>
          <w:rFonts w:ascii="Cambria" w:hAnsi="Cambria"/>
          <w:i/>
          <w:sz w:val="24"/>
          <w:szCs w:val="24"/>
        </w:rPr>
        <w:t>Beleef het boerenerf(goed)!</w:t>
      </w:r>
      <w:r w:rsidRPr="00504541">
        <w:rPr>
          <w:rFonts w:ascii="Cambria" w:hAnsi="Cambria"/>
          <w:sz w:val="24"/>
          <w:szCs w:val="24"/>
        </w:rPr>
        <w:t xml:space="preserve"> wordt uitgevoerd door de boerderijenstichtingen van Overijssel, aangevuld met een vertegenwoordiger uit Noordwest-Overijssel en met professionele ondersteuning van de IJsselacademie en Monumentenwacht.  De regeling is mogelijk gemaakt door de provincie in het kader van de subsidieregeling </w:t>
      </w:r>
      <w:r w:rsidRPr="00504541">
        <w:rPr>
          <w:rFonts w:ascii="Cambria" w:hAnsi="Cambria"/>
          <w:i/>
          <w:sz w:val="24"/>
          <w:szCs w:val="24"/>
        </w:rPr>
        <w:t>Het Verhaal van Overijssel</w:t>
      </w:r>
      <w:r w:rsidRPr="00504541">
        <w:rPr>
          <w:rFonts w:ascii="Cambria" w:hAnsi="Cambria"/>
          <w:sz w:val="24"/>
          <w:szCs w:val="24"/>
        </w:rPr>
        <w:t>.</w:t>
      </w:r>
    </w:p>
    <w:p w:rsidR="009F6F0A" w:rsidRPr="00504541" w:rsidRDefault="009F6F0A" w:rsidP="009F6F0A">
      <w:p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 xml:space="preserve">Binnen de restauratieregeling bestaat een onderscheid tussen bebouwing met (bedrijfs)economische waarde zoals boerderijen en schuren, en bijgebouwen </w:t>
      </w:r>
      <w:r w:rsidR="00395E5A">
        <w:rPr>
          <w:rFonts w:ascii="Cambria" w:hAnsi="Cambria"/>
          <w:sz w:val="24"/>
          <w:szCs w:val="24"/>
        </w:rPr>
        <w:t xml:space="preserve">plus cultuurhistorische elementen </w:t>
      </w:r>
      <w:r w:rsidRPr="00504541">
        <w:rPr>
          <w:rFonts w:ascii="Cambria" w:hAnsi="Cambria"/>
          <w:sz w:val="24"/>
          <w:szCs w:val="24"/>
        </w:rPr>
        <w:t>zonder directe economische waarde. De meeste bijgebouwen als bakhuisjes, waterputten en iemenschuren hebben geen to</w:t>
      </w:r>
      <w:r w:rsidR="00395E5A">
        <w:rPr>
          <w:rFonts w:ascii="Cambria" w:hAnsi="Cambria"/>
          <w:sz w:val="24"/>
          <w:szCs w:val="24"/>
        </w:rPr>
        <w:t>t weinig economische waarde, evenals specifieke objecten als luiken, uilenborden en gevelstenen</w:t>
      </w:r>
      <w:r w:rsidRPr="00504541">
        <w:rPr>
          <w:rFonts w:ascii="Cambria" w:hAnsi="Cambria"/>
          <w:sz w:val="24"/>
          <w:szCs w:val="24"/>
        </w:rPr>
        <w:t xml:space="preserve">. De subsidiebijdrage varieert daarom van 20 procent in geval van (woon)boerderijen en </w:t>
      </w:r>
      <w:r>
        <w:rPr>
          <w:rFonts w:ascii="Cambria" w:hAnsi="Cambria"/>
          <w:sz w:val="24"/>
          <w:szCs w:val="24"/>
        </w:rPr>
        <w:t xml:space="preserve">functionele </w:t>
      </w:r>
      <w:r w:rsidRPr="00504541">
        <w:rPr>
          <w:rFonts w:ascii="Cambria" w:hAnsi="Cambria"/>
          <w:sz w:val="24"/>
          <w:szCs w:val="24"/>
        </w:rPr>
        <w:t>schuren met een maximum van 3000 euro</w:t>
      </w:r>
      <w:r>
        <w:rPr>
          <w:rFonts w:ascii="Cambria" w:hAnsi="Cambria"/>
          <w:sz w:val="24"/>
          <w:szCs w:val="24"/>
        </w:rPr>
        <w:t>,</w:t>
      </w:r>
      <w:r w:rsidRPr="00504541">
        <w:rPr>
          <w:rFonts w:ascii="Cambria" w:hAnsi="Cambria"/>
          <w:sz w:val="24"/>
          <w:szCs w:val="24"/>
        </w:rPr>
        <w:t xml:space="preserve"> tot 40 procent voor overige karakteristieke opstallen</w:t>
      </w:r>
      <w:r w:rsidR="00395E5A">
        <w:rPr>
          <w:rFonts w:ascii="Cambria" w:hAnsi="Cambria"/>
          <w:sz w:val="24"/>
          <w:szCs w:val="24"/>
        </w:rPr>
        <w:t xml:space="preserve"> en elementen </w:t>
      </w:r>
      <w:r w:rsidRPr="00504541">
        <w:rPr>
          <w:rFonts w:ascii="Cambria" w:hAnsi="Cambria"/>
          <w:sz w:val="24"/>
          <w:szCs w:val="24"/>
        </w:rPr>
        <w:t>zonder economische waarde met een maximum van 4000 euro. In totaal kunnen vijftien tot twintig eigenaren aan de regeling meedoen.</w:t>
      </w:r>
    </w:p>
    <w:p w:rsidR="009F6F0A" w:rsidRPr="00504541" w:rsidRDefault="009F6F0A" w:rsidP="009F6F0A">
      <w:p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Belangstellenden kunnen zich voor 15 november 2016 melden via het daarvoor bestemde opgaveformulier. De aanvraag moet voldoen aan de volgende voorwaarden: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Ligging: het object dient zich in de provincie Overijssel te bevinden</w:t>
      </w:r>
      <w:r w:rsidR="0055006C">
        <w:rPr>
          <w:rFonts w:ascii="Cambria" w:hAnsi="Cambria"/>
          <w:sz w:val="24"/>
          <w:szCs w:val="24"/>
        </w:rPr>
        <w:t>.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 xml:space="preserve">Termijn: het object dient voor </w:t>
      </w:r>
      <w:r w:rsidR="00524EF8">
        <w:rPr>
          <w:rFonts w:ascii="Cambria" w:hAnsi="Cambria"/>
          <w:sz w:val="24"/>
          <w:szCs w:val="24"/>
        </w:rPr>
        <w:t>1</w:t>
      </w:r>
      <w:r w:rsidRPr="00504541">
        <w:rPr>
          <w:rFonts w:ascii="Cambria" w:hAnsi="Cambria"/>
          <w:sz w:val="24"/>
          <w:szCs w:val="24"/>
        </w:rPr>
        <w:t xml:space="preserve"> november 2017 gerestaureerd te zijn</w:t>
      </w:r>
      <w:r w:rsidR="0055006C">
        <w:rPr>
          <w:rFonts w:ascii="Cambria" w:hAnsi="Cambria"/>
          <w:sz w:val="24"/>
          <w:szCs w:val="24"/>
        </w:rPr>
        <w:t>.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Doelgroep: de regeling geldt alleen voor particulieren</w:t>
      </w:r>
      <w:r w:rsidR="0055006C">
        <w:rPr>
          <w:rFonts w:ascii="Cambria" w:hAnsi="Cambria"/>
          <w:sz w:val="24"/>
          <w:szCs w:val="24"/>
        </w:rPr>
        <w:t>.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Budget: de aanvraag dient realistisch begroot te zijn. Er mag geen sprake zijn van stapeling van subsidies</w:t>
      </w:r>
      <w:r w:rsidR="0055006C">
        <w:rPr>
          <w:rFonts w:ascii="Cambria" w:hAnsi="Cambria"/>
          <w:sz w:val="24"/>
          <w:szCs w:val="24"/>
        </w:rPr>
        <w:t>. Bij zelfwerkzaamheid komen alleen materiële kosten in aanmerking.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De eigenaar dient waar mogelijk medewerking te verlenen aan een eenmalige publieksactiviteit op zi</w:t>
      </w:r>
      <w:r w:rsidR="0055006C">
        <w:rPr>
          <w:rFonts w:ascii="Cambria" w:hAnsi="Cambria"/>
          <w:sz w:val="24"/>
          <w:szCs w:val="24"/>
        </w:rPr>
        <w:t>jn erf of in de nabijheid ervan.</w:t>
      </w:r>
    </w:p>
    <w:p w:rsidR="009F6F0A" w:rsidRPr="00504541" w:rsidRDefault="009F6F0A" w:rsidP="009F6F0A">
      <w:p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De aanvraag wordt beoordeeld aan de hand van de volgende criteria: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Cultuurhistorische waarde: betekenis van het object in het licht van de regionale agrarische geschiedenis, m.n. de herkenbaarheid of de zeldzaamheid</w:t>
      </w:r>
      <w:r w:rsidR="0055006C">
        <w:rPr>
          <w:rFonts w:ascii="Cambria" w:hAnsi="Cambria"/>
          <w:sz w:val="24"/>
          <w:szCs w:val="24"/>
        </w:rPr>
        <w:t>.</w:t>
      </w:r>
      <w:r w:rsidRPr="00504541">
        <w:rPr>
          <w:rFonts w:ascii="Cambria" w:hAnsi="Cambria"/>
          <w:sz w:val="24"/>
          <w:szCs w:val="24"/>
        </w:rPr>
        <w:t xml:space="preserve">  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Bouwkundige waarde: authenticiteit en gaafheid van het pand</w:t>
      </w:r>
      <w:r w:rsidR="003761B5">
        <w:rPr>
          <w:rFonts w:ascii="Cambria" w:hAnsi="Cambria"/>
          <w:sz w:val="24"/>
          <w:szCs w:val="24"/>
        </w:rPr>
        <w:t>.</w:t>
      </w:r>
      <w:r w:rsidR="00E43319">
        <w:rPr>
          <w:rFonts w:ascii="Cambria" w:hAnsi="Cambria"/>
          <w:sz w:val="24"/>
          <w:szCs w:val="24"/>
        </w:rPr>
        <w:t xml:space="preserve"> Reconstr</w:t>
      </w:r>
      <w:r w:rsidR="003761B5">
        <w:rPr>
          <w:rFonts w:ascii="Cambria" w:hAnsi="Cambria"/>
          <w:sz w:val="24"/>
          <w:szCs w:val="24"/>
        </w:rPr>
        <w:t>ucties zijn niet subsidiabel.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Ensemblewaarden: relatie van het object tot andere gebouwen en de publieke ruimte</w:t>
      </w:r>
      <w:r w:rsidR="0055006C">
        <w:rPr>
          <w:rFonts w:ascii="Cambria" w:hAnsi="Cambria"/>
          <w:sz w:val="24"/>
          <w:szCs w:val="24"/>
        </w:rPr>
        <w:t>.</w:t>
      </w:r>
    </w:p>
    <w:p w:rsidR="009F6F0A" w:rsidRPr="00504541" w:rsidRDefault="009F6F0A" w:rsidP="009F6F0A">
      <w:pPr>
        <w:pStyle w:val="Lijstaline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t>Geografie: spreiding van de panden door de provincie Overijssel</w:t>
      </w:r>
      <w:r w:rsidR="0055006C">
        <w:rPr>
          <w:rFonts w:ascii="Cambria" w:hAnsi="Cambria"/>
          <w:sz w:val="24"/>
          <w:szCs w:val="24"/>
        </w:rPr>
        <w:t>.</w:t>
      </w:r>
    </w:p>
    <w:p w:rsidR="009F6F0A" w:rsidRPr="00504541" w:rsidRDefault="009F6F0A" w:rsidP="009F6F0A">
      <w:pPr>
        <w:rPr>
          <w:rFonts w:ascii="Cambria" w:hAnsi="Cambria"/>
          <w:sz w:val="24"/>
          <w:szCs w:val="24"/>
        </w:rPr>
      </w:pPr>
      <w:r w:rsidRPr="00504541">
        <w:rPr>
          <w:rFonts w:ascii="Cambria" w:hAnsi="Cambria"/>
          <w:sz w:val="24"/>
          <w:szCs w:val="24"/>
        </w:rPr>
        <w:lastRenderedPageBreak/>
        <w:t xml:space="preserve">De beoordeling gebeurt door leden van </w:t>
      </w:r>
      <w:r>
        <w:rPr>
          <w:rFonts w:ascii="Cambria" w:hAnsi="Cambria"/>
          <w:sz w:val="24"/>
          <w:szCs w:val="24"/>
        </w:rPr>
        <w:t>de</w:t>
      </w:r>
      <w:r w:rsidRPr="00504541">
        <w:rPr>
          <w:rFonts w:ascii="Cambria" w:hAnsi="Cambria"/>
          <w:sz w:val="24"/>
          <w:szCs w:val="24"/>
        </w:rPr>
        <w:t xml:space="preserve"> projectgroep, waarbij de vertegenwoordigers van de boerderijenstichtingen/regio’s elk een stem hebben, evenals de IJsselacademie en Monumentenwacht. Over de uitslag wordt niet gecorrespondeerd. </w:t>
      </w:r>
    </w:p>
    <w:p w:rsidR="0055006C" w:rsidRDefault="0055006C" w:rsidP="009F6F0A"/>
    <w:p w:rsidR="0055006C" w:rsidRPr="00395E5A" w:rsidRDefault="0055006C" w:rsidP="009F6F0A">
      <w:pPr>
        <w:rPr>
          <w:sz w:val="24"/>
          <w:szCs w:val="24"/>
        </w:rPr>
      </w:pPr>
      <w:r w:rsidRPr="00395E5A">
        <w:rPr>
          <w:sz w:val="24"/>
          <w:szCs w:val="24"/>
        </w:rPr>
        <w:t>Positief beoordeelde aanvragen doorlopen de volgende procedure:</w:t>
      </w:r>
    </w:p>
    <w:p w:rsidR="00F0163D" w:rsidRPr="00395E5A" w:rsidRDefault="0055006C" w:rsidP="0055006C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95E5A">
        <w:rPr>
          <w:sz w:val="24"/>
          <w:szCs w:val="24"/>
        </w:rPr>
        <w:t xml:space="preserve">Monumentenwacht verricht ter plaatse een 0-meting </w:t>
      </w:r>
      <w:r w:rsidR="00F0163D" w:rsidRPr="00395E5A">
        <w:rPr>
          <w:sz w:val="24"/>
          <w:szCs w:val="24"/>
        </w:rPr>
        <w:t>en adviseert over de mogelijkheden van herstel.</w:t>
      </w:r>
    </w:p>
    <w:p w:rsidR="00F0163D" w:rsidRPr="00395E5A" w:rsidRDefault="00F0163D" w:rsidP="0055006C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95E5A">
        <w:rPr>
          <w:sz w:val="24"/>
          <w:szCs w:val="24"/>
        </w:rPr>
        <w:t xml:space="preserve">De eigenaar vraagt een offerte aan bij een of meerdere kundige uitvoerders. </w:t>
      </w:r>
    </w:p>
    <w:p w:rsidR="0055006C" w:rsidRPr="00395E5A" w:rsidRDefault="00F0163D" w:rsidP="0055006C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95E5A">
        <w:rPr>
          <w:sz w:val="24"/>
          <w:szCs w:val="24"/>
        </w:rPr>
        <w:t xml:space="preserve">Monumentenwacht </w:t>
      </w:r>
      <w:r w:rsidR="0055006C" w:rsidRPr="00395E5A">
        <w:rPr>
          <w:sz w:val="24"/>
          <w:szCs w:val="24"/>
        </w:rPr>
        <w:t>beoordeelt de offerte van uitvoerende partij</w:t>
      </w:r>
      <w:r w:rsidRPr="00395E5A">
        <w:rPr>
          <w:sz w:val="24"/>
          <w:szCs w:val="24"/>
        </w:rPr>
        <w:t xml:space="preserve"> op kunde en prijsstelling</w:t>
      </w:r>
      <w:r w:rsidR="000E32D5" w:rsidRPr="00395E5A">
        <w:rPr>
          <w:sz w:val="24"/>
          <w:szCs w:val="24"/>
        </w:rPr>
        <w:t>,</w:t>
      </w:r>
      <w:r w:rsidRPr="00395E5A">
        <w:rPr>
          <w:sz w:val="24"/>
          <w:szCs w:val="24"/>
        </w:rPr>
        <w:t xml:space="preserve"> en stelt het subsidiabele bedrag vast.</w:t>
      </w:r>
    </w:p>
    <w:p w:rsidR="0055006C" w:rsidRPr="00395E5A" w:rsidRDefault="0055006C" w:rsidP="0055006C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95E5A">
        <w:rPr>
          <w:sz w:val="24"/>
          <w:szCs w:val="24"/>
        </w:rPr>
        <w:t>De eigenaar zorgt voor een eventuele bouwvergunning en geeft opdracht tot restauratie.</w:t>
      </w:r>
    </w:p>
    <w:p w:rsidR="000E32D5" w:rsidRPr="00395E5A" w:rsidRDefault="000E32D5" w:rsidP="000E32D5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95E5A">
        <w:rPr>
          <w:sz w:val="24"/>
          <w:szCs w:val="24"/>
        </w:rPr>
        <w:t>De IJsselacademie overlegt met de eigenaar over de mogelijkheden van een publieksactiviteit op locatie.</w:t>
      </w:r>
    </w:p>
    <w:p w:rsidR="00F0163D" w:rsidRPr="00395E5A" w:rsidRDefault="00F0163D" w:rsidP="0055006C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95E5A">
        <w:rPr>
          <w:sz w:val="24"/>
          <w:szCs w:val="24"/>
        </w:rPr>
        <w:t xml:space="preserve">Na voltooiing van de werkzaamheden controleert Monumentenwacht het resultaat. </w:t>
      </w:r>
    </w:p>
    <w:p w:rsidR="0055006C" w:rsidRPr="00395E5A" w:rsidRDefault="00F0163D" w:rsidP="0055006C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95E5A">
        <w:rPr>
          <w:sz w:val="24"/>
          <w:szCs w:val="24"/>
        </w:rPr>
        <w:t>Bij uitvoering volgens afspraak krijgt de eigenaar het subsidiabele bedrag uitgekeerd.</w:t>
      </w:r>
    </w:p>
    <w:p w:rsidR="000E32D5" w:rsidRPr="00395E5A" w:rsidRDefault="000E32D5" w:rsidP="0055006C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395E5A">
        <w:rPr>
          <w:sz w:val="24"/>
          <w:szCs w:val="24"/>
        </w:rPr>
        <w:t>Waar mogelijk vindt een feestelijke oplevering van de restauratie plaats op kosten van de projectorganisatie.</w:t>
      </w:r>
    </w:p>
    <w:p w:rsidR="0055006C" w:rsidRDefault="0055006C" w:rsidP="009F6F0A"/>
    <w:p w:rsidR="0055006C" w:rsidRDefault="009426C4" w:rsidP="009F6F0A">
      <w:r w:rsidRPr="002B2376">
        <w:rPr>
          <w:sz w:val="20"/>
          <w:szCs w:val="20"/>
        </w:rPr>
        <w:t xml:space="preserve">Voor vragen kunt u terecht bij Ewout van der Horst, projectleider </w:t>
      </w:r>
      <w:r>
        <w:rPr>
          <w:sz w:val="20"/>
          <w:szCs w:val="20"/>
        </w:rPr>
        <w:t xml:space="preserve">stichting </w:t>
      </w:r>
      <w:r w:rsidRPr="002B2376">
        <w:rPr>
          <w:sz w:val="20"/>
          <w:szCs w:val="20"/>
        </w:rPr>
        <w:t xml:space="preserve">IJsselacademie via </w:t>
      </w:r>
      <w:hyperlink r:id="rId9" w:history="1">
        <w:r w:rsidRPr="002B2376">
          <w:rPr>
            <w:rStyle w:val="Hyperlink"/>
            <w:sz w:val="20"/>
            <w:szCs w:val="20"/>
          </w:rPr>
          <w:t>evanderhorst@ijsselacademie.nl</w:t>
        </w:r>
      </w:hyperlink>
      <w:r w:rsidRPr="002B2376">
        <w:rPr>
          <w:sz w:val="20"/>
          <w:szCs w:val="20"/>
        </w:rPr>
        <w:t xml:space="preserve"> of 06-22534439.</w:t>
      </w:r>
    </w:p>
    <w:p w:rsidR="0055006C" w:rsidRDefault="0055006C" w:rsidP="009F6F0A"/>
    <w:p w:rsidR="009426C4" w:rsidRDefault="009426C4" w:rsidP="009F6F0A"/>
    <w:p w:rsidR="009426C4" w:rsidRDefault="009426C4" w:rsidP="009F6F0A"/>
    <w:p w:rsidR="009426C4" w:rsidRDefault="009426C4" w:rsidP="009F6F0A"/>
    <w:p w:rsidR="009426C4" w:rsidRDefault="009426C4" w:rsidP="009F6F0A"/>
    <w:p w:rsidR="009426C4" w:rsidRDefault="009426C4" w:rsidP="009F6F0A"/>
    <w:p w:rsidR="0055006C" w:rsidRDefault="0055006C" w:rsidP="009F6F0A"/>
    <w:p w:rsidR="009F6F0A" w:rsidRPr="003714BE" w:rsidRDefault="000E32D5" w:rsidP="009F6F0A"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216535</wp:posOffset>
            </wp:positionV>
            <wp:extent cx="1104900" cy="1102360"/>
            <wp:effectExtent l="0" t="0" r="0" b="2540"/>
            <wp:wrapNone/>
            <wp:docPr id="5" name="Afbeelding 5" descr="Afbeeldingsresultaat voor logo ijsselacad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logo ijsselacadem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F0A" w:rsidRPr="003714BE" w:rsidRDefault="000E32D5" w:rsidP="009F6F0A">
      <w:r>
        <w:rPr>
          <w:noProof/>
          <w:color w:val="1F497D"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195580</wp:posOffset>
            </wp:positionV>
            <wp:extent cx="2152650" cy="668020"/>
            <wp:effectExtent l="0" t="0" r="0" b="0"/>
            <wp:wrapNone/>
            <wp:docPr id="8" name="Afbeelding 8" descr="Beschrijving: logo_mw_overijssel_flev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logo_mw_overijssel_flevolan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18882</wp:posOffset>
            </wp:positionV>
            <wp:extent cx="1162050" cy="920139"/>
            <wp:effectExtent l="0" t="0" r="0" b="0"/>
            <wp:wrapNone/>
            <wp:docPr id="7" name="Afbeelding 7" descr="Afbeeldingsresultaat voor logo overijssel mede mogelijk gema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logo overijssel mede mogelijk gemaak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85" cy="9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F0A">
        <w:rPr>
          <w:noProof/>
        </w:rPr>
        <w:t xml:space="preserve"> </w:t>
      </w:r>
    </w:p>
    <w:p w:rsidR="0030558D" w:rsidRDefault="0030558D" w:rsidP="0030558D"/>
    <w:p w:rsidR="008711A9" w:rsidRDefault="008711A9" w:rsidP="0030558D"/>
    <w:p w:rsidR="008711A9" w:rsidRPr="0030558D" w:rsidRDefault="008711A9" w:rsidP="0030558D"/>
    <w:sectPr w:rsidR="008711A9" w:rsidRPr="0030558D" w:rsidSect="006A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1BF4"/>
    <w:multiLevelType w:val="hybridMultilevel"/>
    <w:tmpl w:val="2A72DDBE"/>
    <w:lvl w:ilvl="0" w:tplc="B240C63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612B2"/>
    <w:multiLevelType w:val="hybridMultilevel"/>
    <w:tmpl w:val="22D6BB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10037"/>
    <w:multiLevelType w:val="hybridMultilevel"/>
    <w:tmpl w:val="8B385068"/>
    <w:lvl w:ilvl="0" w:tplc="330253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118AE"/>
    <w:multiLevelType w:val="hybridMultilevel"/>
    <w:tmpl w:val="0F4ADA8C"/>
    <w:lvl w:ilvl="0" w:tplc="730855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C6C05"/>
    <w:multiLevelType w:val="hybridMultilevel"/>
    <w:tmpl w:val="9C0C1C28"/>
    <w:lvl w:ilvl="0" w:tplc="ECD0AD8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558D"/>
    <w:rsid w:val="000751D9"/>
    <w:rsid w:val="000E32D5"/>
    <w:rsid w:val="00292999"/>
    <w:rsid w:val="002C010C"/>
    <w:rsid w:val="0030558D"/>
    <w:rsid w:val="003761B5"/>
    <w:rsid w:val="00395E5A"/>
    <w:rsid w:val="00402F68"/>
    <w:rsid w:val="00504541"/>
    <w:rsid w:val="00524EF8"/>
    <w:rsid w:val="00535B7D"/>
    <w:rsid w:val="0055006C"/>
    <w:rsid w:val="005D2281"/>
    <w:rsid w:val="006503A6"/>
    <w:rsid w:val="006819EC"/>
    <w:rsid w:val="00692829"/>
    <w:rsid w:val="006A34B4"/>
    <w:rsid w:val="00792762"/>
    <w:rsid w:val="008324BB"/>
    <w:rsid w:val="008711A9"/>
    <w:rsid w:val="008C3E53"/>
    <w:rsid w:val="009237A6"/>
    <w:rsid w:val="009426C4"/>
    <w:rsid w:val="009F6F0A"/>
    <w:rsid w:val="00BD1ECF"/>
    <w:rsid w:val="00C11D4A"/>
    <w:rsid w:val="00CD5089"/>
    <w:rsid w:val="00D476A9"/>
    <w:rsid w:val="00DD3B29"/>
    <w:rsid w:val="00E404F2"/>
    <w:rsid w:val="00E43319"/>
    <w:rsid w:val="00EE6D9F"/>
    <w:rsid w:val="00F0163D"/>
    <w:rsid w:val="00F5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34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558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558D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9F6F0A"/>
    <w:pPr>
      <w:spacing w:after="0" w:line="240" w:lineRule="auto"/>
    </w:pPr>
    <w:rPr>
      <w:rFonts w:ascii="Trebuchet MS" w:eastAsiaTheme="minorEastAsia" w:hAnsi="Trebuchet MS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0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558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0558D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9F6F0A"/>
    <w:pPr>
      <w:spacing w:after="0" w:line="240" w:lineRule="auto"/>
    </w:pPr>
    <w:rPr>
      <w:rFonts w:ascii="Trebuchet MS" w:eastAsiaTheme="minorEastAsia" w:hAnsi="Trebuchet MS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5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cid:image001.png@01D20D24.B07977E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evanderhorst@ijsselacademie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Ewout van der Horst</dc:creator>
  <cp:lastModifiedBy>Wim Nugteren</cp:lastModifiedBy>
  <cp:revision>2</cp:revision>
  <dcterms:created xsi:type="dcterms:W3CDTF">2016-09-15T10:42:00Z</dcterms:created>
  <dcterms:modified xsi:type="dcterms:W3CDTF">2016-09-15T10:42:00Z</dcterms:modified>
</cp:coreProperties>
</file>